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A5747" w14:textId="4E192698" w:rsidR="00CD11EB" w:rsidRPr="001552EB" w:rsidRDefault="001552EB" w:rsidP="006145EA">
      <w:pPr>
        <w:pStyle w:val="Heading1"/>
      </w:pPr>
      <w:r w:rsidRPr="001552EB">
        <w:t>ROUNDTABLE CONFERENCE SUMMARY</w:t>
      </w:r>
    </w:p>
    <w:p w14:paraId="036DDD13" w14:textId="77777777" w:rsidR="006145EA" w:rsidRDefault="001552EB" w:rsidP="006145EA">
      <w:pPr>
        <w:pStyle w:val="Heading1"/>
      </w:pPr>
      <w:r w:rsidRPr="001552EB">
        <w:t xml:space="preserve">BRAILLE FOR LIFE-LONG LEARNERS </w:t>
      </w:r>
    </w:p>
    <w:p w14:paraId="7C5A73A3" w14:textId="54E5800A" w:rsidR="001552EB" w:rsidRPr="001552EB" w:rsidRDefault="001552EB">
      <w:pPr>
        <w:rPr>
          <w:rFonts w:cstheme="minorHAnsi"/>
          <w:b/>
          <w:bCs/>
          <w:szCs w:val="24"/>
        </w:rPr>
      </w:pPr>
      <w:r w:rsidRPr="001552EB">
        <w:rPr>
          <w:rFonts w:cstheme="minorHAnsi"/>
          <w:b/>
          <w:bCs/>
          <w:szCs w:val="24"/>
        </w:rPr>
        <w:t>– Kerri Weaver – EYES AND INDEPENDENCE</w:t>
      </w:r>
    </w:p>
    <w:p w14:paraId="39613DED" w14:textId="68E8378B" w:rsidR="00CD11EB" w:rsidRPr="001552EB" w:rsidRDefault="00CD11EB" w:rsidP="00CD11EB">
      <w:pPr>
        <w:rPr>
          <w:rFonts w:cstheme="minorHAnsi"/>
          <w:szCs w:val="24"/>
        </w:rPr>
      </w:pPr>
      <w:r w:rsidRPr="001552EB">
        <w:rPr>
          <w:rFonts w:cstheme="minorHAnsi"/>
          <w:szCs w:val="24"/>
        </w:rPr>
        <w:t xml:space="preserve">This conference paper discusses the journey of individuals with vision impairments (VI) as they learn and re-engage with braille at different stages of life, highlighting the importance of </w:t>
      </w:r>
      <w:r w:rsidRPr="001552EB">
        <w:rPr>
          <w:rFonts w:cstheme="minorHAnsi"/>
          <w:szCs w:val="24"/>
        </w:rPr>
        <w:lastRenderedPageBreak/>
        <w:t>braille for lifelong learning and independence.</w:t>
      </w:r>
    </w:p>
    <w:p w14:paraId="00E49A0A" w14:textId="1B283ED1" w:rsidR="00CD11EB" w:rsidRPr="001552EB" w:rsidRDefault="00CD11EB" w:rsidP="00CD11EB">
      <w:pPr>
        <w:rPr>
          <w:rFonts w:cstheme="minorHAnsi"/>
          <w:szCs w:val="24"/>
        </w:rPr>
      </w:pPr>
      <w:r w:rsidRPr="001552EB">
        <w:rPr>
          <w:rFonts w:cstheme="minorHAnsi"/>
          <w:szCs w:val="24"/>
        </w:rPr>
        <w:t xml:space="preserve">The first story focuses on a young man with significant medical challenges (including a brain </w:t>
      </w:r>
      <w:proofErr w:type="spellStart"/>
      <w:r w:rsidRPr="001552EB">
        <w:rPr>
          <w:rFonts w:cstheme="minorHAnsi"/>
          <w:szCs w:val="24"/>
        </w:rPr>
        <w:t>tumor</w:t>
      </w:r>
      <w:proofErr w:type="spellEnd"/>
      <w:r w:rsidRPr="001552EB">
        <w:rPr>
          <w:rFonts w:cstheme="minorHAnsi"/>
          <w:szCs w:val="24"/>
        </w:rPr>
        <w:t xml:space="preserve"> and a stroke), rekindles his connection to braille with the support of a specialist teacher. Despite his initial struggles with confidence and learning issues, he regained much of his braille skills, demonstrating excellent comprehension and recall. His journey highlights the ability of the brain to adapt, especially when given the right stimuli and support. His deep </w:t>
      </w:r>
      <w:r w:rsidRPr="001552EB">
        <w:rPr>
          <w:rFonts w:cstheme="minorHAnsi"/>
          <w:szCs w:val="24"/>
        </w:rPr>
        <w:lastRenderedPageBreak/>
        <w:t>understanding of braille, including his ability to spot mistakes and remember rules, shows the effectiveness of ongoing braille education, even after a long period of disengagement.</w:t>
      </w:r>
    </w:p>
    <w:p w14:paraId="5CF62D0D" w14:textId="4CB784D0" w:rsidR="00CD11EB" w:rsidRPr="001552EB" w:rsidRDefault="00CD11EB" w:rsidP="00CD11EB">
      <w:pPr>
        <w:rPr>
          <w:rFonts w:cstheme="minorHAnsi"/>
          <w:szCs w:val="24"/>
        </w:rPr>
      </w:pPr>
      <w:r w:rsidRPr="001552EB">
        <w:rPr>
          <w:rFonts w:cstheme="minorHAnsi"/>
          <w:szCs w:val="24"/>
        </w:rPr>
        <w:t xml:space="preserve">The second case is about a 22-year-old man with Retinitis Pigmentosa (RP), who dropped out of school due to his struggle with print reading. After being approved for access to NDIS funds, he decided to learn braille and is now working on mastering his tactile reading and writing skills. </w:t>
      </w:r>
    </w:p>
    <w:p w14:paraId="71893FBB" w14:textId="77777777" w:rsidR="00CD11EB" w:rsidRPr="001552EB" w:rsidRDefault="00CD11EB" w:rsidP="00CD11EB">
      <w:pPr>
        <w:rPr>
          <w:rFonts w:cstheme="minorHAnsi"/>
          <w:szCs w:val="24"/>
        </w:rPr>
      </w:pPr>
      <w:r w:rsidRPr="001552EB">
        <w:rPr>
          <w:rFonts w:cstheme="minorHAnsi"/>
          <w:szCs w:val="24"/>
        </w:rPr>
        <w:lastRenderedPageBreak/>
        <w:t xml:space="preserve">The third example involves an 11-year-old </w:t>
      </w:r>
      <w:proofErr w:type="spellStart"/>
      <w:r w:rsidRPr="001552EB">
        <w:rPr>
          <w:rFonts w:cstheme="minorHAnsi"/>
          <w:szCs w:val="24"/>
        </w:rPr>
        <w:t>homeschooler</w:t>
      </w:r>
      <w:proofErr w:type="spellEnd"/>
      <w:r w:rsidRPr="001552EB">
        <w:rPr>
          <w:rFonts w:cstheme="minorHAnsi"/>
          <w:szCs w:val="24"/>
        </w:rPr>
        <w:t xml:space="preserve"> with a deteriorating vision condition. Although she currently reads print, she has developed a keen interest in learning braille after befriending a blind peer. This desire to communicate with her friend in braille represents the social and emotional value of braille learning for young people with visual impairments.</w:t>
      </w:r>
    </w:p>
    <w:p w14:paraId="787B62E6" w14:textId="376EF5CE" w:rsidR="00CD11EB" w:rsidRPr="001552EB" w:rsidRDefault="00CD11EB" w:rsidP="00CD11EB">
      <w:pPr>
        <w:rPr>
          <w:rFonts w:cstheme="minorHAnsi"/>
          <w:szCs w:val="24"/>
        </w:rPr>
      </w:pPr>
      <w:r w:rsidRPr="001552EB">
        <w:rPr>
          <w:rFonts w:cstheme="minorHAnsi"/>
          <w:szCs w:val="24"/>
        </w:rPr>
        <w:t xml:space="preserve">The paper then turns to the broader role of VI teachers in promoting braille education. It poses the question of how to ensure that braille is taught effectively as both a tool for reading </w:t>
      </w:r>
      <w:r w:rsidRPr="001552EB">
        <w:rPr>
          <w:rFonts w:cstheme="minorHAnsi"/>
          <w:szCs w:val="24"/>
        </w:rPr>
        <w:lastRenderedPageBreak/>
        <w:t>and a means of personal expression. The presenter, a VI specialist with 30 years of experience, reflects on the challenges and successes of teaching braille, particularly in varied and independent settings like homeschooling and for adults re-engaging with braille later in life. The paper stresses the importance of individualized approaches and consistency in teaching braille to ensure that students of all ages develop a solid foundation in both braille and dual media skills (print and braille).</w:t>
      </w:r>
    </w:p>
    <w:p w14:paraId="2084E854" w14:textId="308E19B3" w:rsidR="00CD11EB" w:rsidRPr="001552EB" w:rsidRDefault="00CD11EB" w:rsidP="00CD11EB">
      <w:pPr>
        <w:rPr>
          <w:rFonts w:cstheme="minorHAnsi"/>
          <w:szCs w:val="24"/>
        </w:rPr>
      </w:pPr>
      <w:r w:rsidRPr="001552EB">
        <w:rPr>
          <w:rFonts w:cstheme="minorHAnsi"/>
          <w:szCs w:val="24"/>
        </w:rPr>
        <w:lastRenderedPageBreak/>
        <w:t>Overall, the presentation emphasizes that braille remains a vital skill for people with VI, not just for practical purposes like shopping and reading news, but for personal empowerment, social interaction, and continued learning throughout life. The paper advocates for innovative methods to sustain interest in braille and ensure that it continues to be a relevant, accessible tool for those with visual impairments.</w:t>
      </w:r>
    </w:p>
    <w:p w14:paraId="09A86FE9" w14:textId="31AE028C" w:rsidR="001552EB" w:rsidRPr="001552EB" w:rsidRDefault="001552EB" w:rsidP="00CD11EB">
      <w:pPr>
        <w:rPr>
          <w:rFonts w:cstheme="minorHAnsi"/>
          <w:szCs w:val="24"/>
        </w:rPr>
      </w:pPr>
      <w:r w:rsidRPr="001552EB">
        <w:rPr>
          <w:rFonts w:cstheme="minorHAnsi"/>
          <w:szCs w:val="24"/>
        </w:rPr>
        <w:t xml:space="preserve">A question is put out to the audience on how to engage more adults with braille and how could it be funded. The </w:t>
      </w:r>
      <w:r w:rsidRPr="001552EB">
        <w:rPr>
          <w:rFonts w:cstheme="minorHAnsi"/>
          <w:szCs w:val="24"/>
        </w:rPr>
        <w:lastRenderedPageBreak/>
        <w:t>presentation will include small snippets of examples of the braille program, video of clients reading braille and demonstrating their progress.</w:t>
      </w:r>
    </w:p>
    <w:sectPr w:rsidR="001552EB" w:rsidRPr="001552EB" w:rsidSect="001A2B6D">
      <w:footerReference w:type="default" r:id="rId6"/>
      <w:pgSz w:w="11906" w:h="16838"/>
      <w:pgMar w:top="1440" w:right="1440" w:bottom="1440" w:left="1440" w:header="708" w:footer="708" w:gutter="0"/>
      <w:cols w:space="708"/>
      <w:titlePg/>
      <w:docGrid w:linePitch="7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C91B2" w14:textId="77777777" w:rsidR="001A2B6D" w:rsidRDefault="001A2B6D" w:rsidP="001A2B6D">
      <w:pPr>
        <w:spacing w:before="0" w:after="0" w:line="240" w:lineRule="auto"/>
      </w:pPr>
      <w:r>
        <w:separator/>
      </w:r>
    </w:p>
  </w:endnote>
  <w:endnote w:type="continuationSeparator" w:id="0">
    <w:p w14:paraId="63F4411A" w14:textId="77777777" w:rsidR="001A2B6D" w:rsidRDefault="001A2B6D" w:rsidP="001A2B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232724"/>
      <w:docPartObj>
        <w:docPartGallery w:val="Page Numbers (Bottom of Page)"/>
        <w:docPartUnique/>
      </w:docPartObj>
    </w:sdtPr>
    <w:sdtEndPr/>
    <w:sdtContent>
      <w:sdt>
        <w:sdtPr>
          <w:id w:val="1728636285"/>
          <w:docPartObj>
            <w:docPartGallery w:val="Page Numbers (Top of Page)"/>
            <w:docPartUnique/>
          </w:docPartObj>
        </w:sdtPr>
        <w:sdtEndPr/>
        <w:sdtContent>
          <w:p w14:paraId="2CFF81B8" w14:textId="2E0DF7E1" w:rsidR="001A2B6D" w:rsidRPr="00C5017E" w:rsidRDefault="001A2B6D">
            <w:pPr>
              <w:pStyle w:val="Footer"/>
              <w:jc w:val="center"/>
            </w:pPr>
            <w:r w:rsidRPr="00C5017E">
              <w:t xml:space="preserve">Page </w:t>
            </w:r>
            <w:r w:rsidRPr="00C5017E">
              <w:rPr>
                <w:sz w:val="24"/>
                <w:szCs w:val="24"/>
              </w:rPr>
              <w:fldChar w:fldCharType="begin"/>
            </w:r>
            <w:r w:rsidRPr="00C5017E">
              <w:instrText xml:space="preserve"> PAGE </w:instrText>
            </w:r>
            <w:r w:rsidRPr="00C5017E">
              <w:rPr>
                <w:sz w:val="24"/>
                <w:szCs w:val="24"/>
              </w:rPr>
              <w:fldChar w:fldCharType="separate"/>
            </w:r>
            <w:r w:rsidRPr="00C5017E">
              <w:rPr>
                <w:noProof/>
              </w:rPr>
              <w:t>2</w:t>
            </w:r>
            <w:r w:rsidRPr="00C5017E">
              <w:rPr>
                <w:sz w:val="24"/>
                <w:szCs w:val="24"/>
              </w:rPr>
              <w:fldChar w:fldCharType="end"/>
            </w:r>
            <w:r w:rsidRPr="00C5017E">
              <w:t xml:space="preserve"> of </w:t>
            </w:r>
            <w:r w:rsidRPr="00C5017E">
              <w:rPr>
                <w:sz w:val="24"/>
                <w:szCs w:val="24"/>
              </w:rPr>
              <w:fldChar w:fldCharType="begin"/>
            </w:r>
            <w:r w:rsidRPr="00C5017E">
              <w:instrText xml:space="preserve"> NUMPAGES  </w:instrText>
            </w:r>
            <w:r w:rsidRPr="00C5017E">
              <w:rPr>
                <w:sz w:val="24"/>
                <w:szCs w:val="24"/>
              </w:rPr>
              <w:fldChar w:fldCharType="separate"/>
            </w:r>
            <w:r w:rsidRPr="00C5017E">
              <w:rPr>
                <w:noProof/>
              </w:rPr>
              <w:t>2</w:t>
            </w:r>
            <w:r w:rsidRPr="00C5017E">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558F" w14:textId="77777777" w:rsidR="001A2B6D" w:rsidRDefault="001A2B6D" w:rsidP="001A2B6D">
      <w:pPr>
        <w:spacing w:before="0" w:after="0" w:line="240" w:lineRule="auto"/>
      </w:pPr>
      <w:r>
        <w:separator/>
      </w:r>
    </w:p>
  </w:footnote>
  <w:footnote w:type="continuationSeparator" w:id="0">
    <w:p w14:paraId="5340F27E" w14:textId="77777777" w:rsidR="001A2B6D" w:rsidRDefault="001A2B6D" w:rsidP="001A2B6D">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99F"/>
    <w:rsid w:val="00046DBB"/>
    <w:rsid w:val="001552EB"/>
    <w:rsid w:val="001A2B6D"/>
    <w:rsid w:val="002400E6"/>
    <w:rsid w:val="002F5EC8"/>
    <w:rsid w:val="004202BB"/>
    <w:rsid w:val="0042214A"/>
    <w:rsid w:val="006145EA"/>
    <w:rsid w:val="00752BF1"/>
    <w:rsid w:val="0085392F"/>
    <w:rsid w:val="00996811"/>
    <w:rsid w:val="009E599F"/>
    <w:rsid w:val="00A67504"/>
    <w:rsid w:val="00AB18A3"/>
    <w:rsid w:val="00C27603"/>
    <w:rsid w:val="00C5017E"/>
    <w:rsid w:val="00CD11EB"/>
    <w:rsid w:val="00DD1A01"/>
    <w:rsid w:val="00EE61A9"/>
    <w:rsid w:val="00F85BD3"/>
    <w:rsid w:val="00FA2B16"/>
    <w:rsid w:val="00FF25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10E1B"/>
  <w15:chartTrackingRefBased/>
  <w15:docId w15:val="{B4EBBB66-243B-4471-BDD8-BACA81E6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520" w:after="60" w:line="360" w:lineRule="auto"/>
    </w:pPr>
    <w:rPr>
      <w:rFonts w:ascii="Arial" w:hAnsi="Arial" w:cs="Arial"/>
      <w:sz w:val="52"/>
    </w:rPr>
  </w:style>
  <w:style w:type="paragraph" w:styleId="Heading1">
    <w:name w:val="heading 1"/>
    <w:basedOn w:val="Normal"/>
    <w:next w:val="Normal"/>
    <w:link w:val="Heading1Char"/>
    <w:uiPriority w:val="9"/>
    <w:qFormat/>
    <w:rsid w:val="006145EA"/>
    <w:pPr>
      <w:keepNext/>
      <w:keepLines/>
      <w:spacing w:before="640"/>
      <w:outlineLvl w:val="0"/>
    </w:pPr>
    <w:rPr>
      <w:rFonts w:eastAsiaTheme="majorEastAsia"/>
      <w:b/>
      <w:sz w:val="64"/>
      <w:szCs w:val="32"/>
    </w:rPr>
  </w:style>
  <w:style w:type="paragraph" w:styleId="Heading2">
    <w:name w:val="heading 2"/>
    <w:basedOn w:val="Normal"/>
    <w:next w:val="Normal"/>
    <w:link w:val="Heading2Char"/>
    <w:uiPriority w:val="9"/>
    <w:semiHidden/>
    <w:unhideWhenUsed/>
    <w:qFormat/>
    <w:rsid w:val="006145EA"/>
    <w:pPr>
      <w:keepNext/>
      <w:keepLines/>
      <w:spacing w:before="440"/>
      <w:outlineLvl w:val="1"/>
    </w:pPr>
    <w:rPr>
      <w:rFonts w:eastAsiaTheme="majorEastAsia"/>
      <w:b/>
      <w:sz w:val="44"/>
      <w:szCs w:val="26"/>
    </w:rPr>
  </w:style>
  <w:style w:type="paragraph" w:styleId="Heading3">
    <w:name w:val="heading 3"/>
    <w:basedOn w:val="Normal"/>
    <w:next w:val="Normal"/>
    <w:link w:val="Heading3Char"/>
    <w:uiPriority w:val="9"/>
    <w:semiHidden/>
    <w:unhideWhenUsed/>
    <w:qFormat/>
    <w:rsid w:val="006145EA"/>
    <w:pPr>
      <w:keepNext/>
      <w:keepLines/>
      <w:spacing w:before="400"/>
      <w:outlineLvl w:val="2"/>
    </w:pPr>
    <w:rPr>
      <w:rFonts w:eastAsiaTheme="majorEastAsia"/>
      <w:b/>
      <w:sz w:val="40"/>
      <w:szCs w:val="24"/>
    </w:rPr>
  </w:style>
  <w:style w:type="paragraph" w:styleId="Heading4">
    <w:name w:val="heading 4"/>
    <w:basedOn w:val="Normal"/>
    <w:next w:val="Normal"/>
    <w:link w:val="Heading4Char"/>
    <w:uiPriority w:val="9"/>
    <w:semiHidden/>
    <w:unhideWhenUsed/>
    <w:qFormat/>
    <w:rsid w:val="006145EA"/>
    <w:pPr>
      <w:keepNext/>
      <w:keepLines/>
      <w:spacing w:before="360"/>
      <w:outlineLvl w:val="3"/>
    </w:pPr>
    <w:rPr>
      <w:rFonts w:eastAsiaTheme="majorEastAsia"/>
      <w:b/>
      <w:i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5EA"/>
    <w:rPr>
      <w:rFonts w:ascii="Arial" w:eastAsiaTheme="majorEastAsia" w:hAnsi="Arial" w:cs="Arial"/>
      <w:b/>
      <w:sz w:val="64"/>
      <w:szCs w:val="32"/>
    </w:rPr>
  </w:style>
  <w:style w:type="character" w:customStyle="1" w:styleId="Heading2Char">
    <w:name w:val="Heading 2 Char"/>
    <w:basedOn w:val="DefaultParagraphFont"/>
    <w:link w:val="Heading2"/>
    <w:uiPriority w:val="9"/>
    <w:semiHidden/>
    <w:rsid w:val="006145EA"/>
    <w:rPr>
      <w:rFonts w:ascii="Arial" w:eastAsiaTheme="majorEastAsia" w:hAnsi="Arial" w:cs="Arial"/>
      <w:b/>
      <w:sz w:val="44"/>
      <w:szCs w:val="26"/>
    </w:rPr>
  </w:style>
  <w:style w:type="character" w:customStyle="1" w:styleId="Heading3Char">
    <w:name w:val="Heading 3 Char"/>
    <w:basedOn w:val="DefaultParagraphFont"/>
    <w:link w:val="Heading3"/>
    <w:uiPriority w:val="9"/>
    <w:semiHidden/>
    <w:rsid w:val="006145EA"/>
    <w:rPr>
      <w:rFonts w:ascii="Arial" w:eastAsiaTheme="majorEastAsia" w:hAnsi="Arial" w:cs="Arial"/>
      <w:b/>
      <w:sz w:val="40"/>
      <w:szCs w:val="24"/>
    </w:rPr>
  </w:style>
  <w:style w:type="character" w:customStyle="1" w:styleId="Heading4Char">
    <w:name w:val="Heading 4 Char"/>
    <w:basedOn w:val="DefaultParagraphFont"/>
    <w:link w:val="Heading4"/>
    <w:uiPriority w:val="9"/>
    <w:semiHidden/>
    <w:rsid w:val="006145EA"/>
    <w:rPr>
      <w:rFonts w:ascii="Arial" w:eastAsiaTheme="majorEastAsia" w:hAnsi="Arial" w:cs="Arial"/>
      <w:b/>
      <w:iCs/>
      <w:sz w:val="36"/>
    </w:rPr>
  </w:style>
  <w:style w:type="paragraph" w:styleId="Header">
    <w:name w:val="header"/>
    <w:basedOn w:val="Normal"/>
    <w:link w:val="HeaderChar"/>
    <w:uiPriority w:val="99"/>
    <w:unhideWhenUsed/>
    <w:rsid w:val="001A2B6D"/>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1A2B6D"/>
    <w:rPr>
      <w:rFonts w:ascii="Arial" w:hAnsi="Arial" w:cs="Arial"/>
      <w:sz w:val="52"/>
    </w:rPr>
  </w:style>
  <w:style w:type="paragraph" w:styleId="Footer">
    <w:name w:val="footer"/>
    <w:basedOn w:val="Normal"/>
    <w:link w:val="FooterChar"/>
    <w:uiPriority w:val="99"/>
    <w:unhideWhenUsed/>
    <w:rsid w:val="001A2B6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1A2B6D"/>
    <w:rPr>
      <w:rFonts w:ascii="Arial" w:hAnsi="Arial" w:cs="Arial"/>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7a - K Weaver, Braille for Lifelong Learners</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7a - K Weaver, Braille for Lifelong Learners</dc:title>
  <dc:subject/>
  <dc:creator>KERRI</dc:creator>
  <cp:keywords/>
  <dc:description/>
  <cp:lastModifiedBy>Peter Le</cp:lastModifiedBy>
  <cp:revision>5</cp:revision>
  <dcterms:created xsi:type="dcterms:W3CDTF">2025-04-29T03:43:00Z</dcterms:created>
  <dcterms:modified xsi:type="dcterms:W3CDTF">2025-05-15T03:26:00Z</dcterms:modified>
</cp:coreProperties>
</file>